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杨陵区大学生医保政策简介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参保范围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凡学籍在杨陵区内，接受普通高等学历教育的全日制专科、本科、研究生，均可参加杨陵区大学生医保（城乡居民基本医疗保险）。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基金征缴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w:t>
      </w:r>
      <w:r>
        <w:rPr>
          <w:rFonts w:hint="eastAsia" w:ascii="仿宋" w:hAnsi="仿宋" w:eastAsia="仿宋" w:cs="仿宋"/>
          <w:color w:val="auto"/>
          <w:sz w:val="32"/>
          <w:szCs w:val="32"/>
          <w:lang w:eastAsia="zh-CN"/>
        </w:rPr>
        <w:t>《国家医保局、财政部、国家税务总局关于做好202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年城乡居民基本医疗保险工作的通知》（医保发〔2023〕</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号）</w:t>
      </w:r>
      <w:r>
        <w:rPr>
          <w:rFonts w:hint="eastAsia" w:ascii="仿宋" w:hAnsi="仿宋" w:eastAsia="仿宋" w:cs="仿宋"/>
          <w:sz w:val="32"/>
          <w:szCs w:val="32"/>
          <w:lang w:eastAsia="zh-CN"/>
        </w:rPr>
        <w:t>文件精神，</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3</w:t>
      </w:r>
      <w:r>
        <w:rPr>
          <w:rFonts w:hint="eastAsia" w:ascii="仿宋" w:hAnsi="仿宋" w:eastAsia="仿宋" w:cs="仿宋"/>
          <w:sz w:val="32"/>
          <w:szCs w:val="32"/>
          <w:lang w:eastAsia="zh-CN"/>
        </w:rPr>
        <w:t>年度个人参保缴费标准为每人每年度</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80元。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医保待遇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大学生参加城镇居民基本医疗保险保障范围为：普通门诊、门诊意外伤害、门诊特殊治疗病种、门诊特殊慢性病、门诊抢救</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住院治疗、生育。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1.普通门诊：</w:t>
      </w:r>
      <w:r>
        <w:rPr>
          <w:rFonts w:hint="eastAsia" w:ascii="仿宋" w:hAnsi="仿宋" w:eastAsia="仿宋" w:cs="仿宋"/>
          <w:b/>
          <w:bCs/>
          <w:color w:val="000000"/>
          <w:sz w:val="32"/>
          <w:szCs w:val="32"/>
        </w:rPr>
        <w:t>在定点医疗机构（西北农林科技大学医院）</w:t>
      </w:r>
      <w:r>
        <w:rPr>
          <w:rFonts w:hint="eastAsia" w:ascii="仿宋" w:hAnsi="仿宋" w:eastAsia="仿宋" w:cs="仿宋"/>
          <w:color w:val="000000"/>
          <w:sz w:val="32"/>
          <w:szCs w:val="32"/>
        </w:rPr>
        <w:t>发生的</w:t>
      </w:r>
      <w:r>
        <w:rPr>
          <w:rFonts w:hint="eastAsia" w:ascii="仿宋" w:hAnsi="仿宋" w:eastAsia="仿宋" w:cs="仿宋"/>
          <w:color w:val="000000"/>
          <w:sz w:val="32"/>
          <w:szCs w:val="32"/>
          <w:lang w:eastAsia="zh-CN"/>
        </w:rPr>
        <w:t>、以及其他</w:t>
      </w:r>
      <w:r>
        <w:rPr>
          <w:rFonts w:hint="eastAsia" w:ascii="仿宋" w:hAnsi="仿宋" w:eastAsia="仿宋" w:cs="仿宋"/>
          <w:color w:val="000000"/>
          <w:sz w:val="32"/>
          <w:szCs w:val="32"/>
        </w:rPr>
        <w:t>符合基本医疗保险规定的普通门诊医疗费用</w:t>
      </w:r>
      <w:r>
        <w:rPr>
          <w:rFonts w:hint="eastAsia" w:ascii="仿宋" w:hAnsi="仿宋" w:eastAsia="仿宋" w:cs="仿宋"/>
          <w:color w:val="000000"/>
          <w:sz w:val="32"/>
          <w:szCs w:val="32"/>
          <w:lang w:eastAsia="zh-CN"/>
        </w:rPr>
        <w:t>（需办理相关审批手续）</w:t>
      </w:r>
      <w:r>
        <w:rPr>
          <w:rFonts w:hint="eastAsia" w:ascii="仿宋" w:hAnsi="仿宋" w:eastAsia="仿宋" w:cs="仿宋"/>
          <w:color w:val="000000"/>
          <w:sz w:val="32"/>
          <w:szCs w:val="32"/>
        </w:rPr>
        <w:t>，不设起付线，由统筹基金按70%比例支付，普通门诊每年最高报销限额500元。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2.门诊意外伤害：包括骨折、关节脱位、呼吸道异物三种常见疾病。因意外伤害引起上述疾病治疗时，不设起付线，医疗费用由统筹基金按75%标准支付，最高支付限额为2000元。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3.门诊特殊治疗病种：包括各类结石，不设起付线，发生的符合医保政策范围内费用按75%报销，年度最高支付限额为1000元。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4.门诊特殊慢性病：在定点医疗机构发生的门诊特殊慢性病医疗费用由统筹基金按照80%-85%的标准支付</w:t>
      </w:r>
      <w:r>
        <w:rPr>
          <w:rFonts w:hint="eastAsia" w:ascii="仿宋" w:hAnsi="仿宋" w:eastAsia="仿宋" w:cs="仿宋"/>
          <w:color w:val="000000"/>
          <w:sz w:val="32"/>
          <w:szCs w:val="32"/>
          <w:lang w:eastAsia="zh-CN"/>
        </w:rPr>
        <w:t>。</w:t>
      </w:r>
    </w:p>
    <w:tbl>
      <w:tblPr>
        <w:tblStyle w:val="5"/>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4622"/>
        <w:gridCol w:w="950"/>
        <w:gridCol w:w="93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类别</w:t>
            </w:r>
          </w:p>
        </w:tc>
        <w:tc>
          <w:tcPr>
            <w:tcW w:w="46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病种名称</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起付线</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报销比例</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最高支付限额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99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门</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诊</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特</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殊</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慢</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性</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病</w:t>
            </w:r>
          </w:p>
        </w:tc>
        <w:tc>
          <w:tcPr>
            <w:tcW w:w="46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1.恶性肿瘤放化疗；2. 恶性肿瘤门诊用药；3.慢性肾功能衰竭尿毒症期门诊血液透析；4.人体器官移植术后服抗排斥药； </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20000</w:t>
            </w:r>
            <w:r>
              <w:rPr>
                <w:rFonts w:hint="eastAsia" w:ascii="仿宋" w:hAnsi="仿宋" w:eastAsia="仿宋" w:cs="仿宋"/>
                <w:color w:val="000000"/>
                <w:kern w:val="0"/>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98"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p>
        </w:tc>
        <w:tc>
          <w:tcPr>
            <w:tcW w:w="46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冠状动脉粥样硬化性心脏病（不含隐匿型）；2.慢性肺源性心脏病；3.原发性高血压（Ⅱ期以上）；4.脑血管病恢复期；5.肝硬化失代偿期；6.糖尿病合并慢性并发症；7.慢性肾小球肾炎及肾病综合症；8.精神疾病；9.红斑狼疮；10.帕金森综合症；11.支气管炎；12.支气管肺炎；13.心肌炎；14.过敏性紫癜；15.泌尿系感染；16.急性肾小球肾炎；17.血小板减少性紫癜；18.营养性贫血； 19.抑郁症门诊使用抗抑郁药物；20.结核病；21.强直性脊柱炎；22.硬皮病；23.先天性心脏病</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80%</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p>
        </w:tc>
        <w:tc>
          <w:tcPr>
            <w:tcW w:w="46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1、慢性活动性肝炎</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9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p>
        </w:tc>
        <w:tc>
          <w:tcPr>
            <w:tcW w:w="4622"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1.再生障碍性贫血；2.白血病；3.血友病；4.生长激素缺乏症门诊使用重组人生长激素。</w:t>
            </w:r>
          </w:p>
        </w:tc>
        <w:tc>
          <w:tcPr>
            <w:tcW w:w="95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0</w:t>
            </w:r>
          </w:p>
        </w:tc>
        <w:tc>
          <w:tcPr>
            <w:tcW w:w="937"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85%</w:t>
            </w:r>
          </w:p>
        </w:tc>
        <w:tc>
          <w:tcPr>
            <w:tcW w:w="1440" w:type="dxa"/>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门诊抢救：凡昏迷、严重休克、大出血、中毒、严重脱水、高热惊厥、严重创伤所致严重呼吸困难、自发性或损伤性气胸、血气胸、喉梗塞及气管支气管堵塞、严重心律失常，各种原因造成内外出血危及生命者，急性心力衰竭、呼吸衰竭、肾功能衰竭等生命体征改变者，按住院比例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6.住院：</w:t>
      </w:r>
      <w:r>
        <w:rPr>
          <w:rFonts w:hint="eastAsia" w:ascii="仿宋" w:hAnsi="仿宋" w:eastAsia="仿宋" w:cs="仿宋"/>
          <w:color w:val="000000"/>
          <w:sz w:val="32"/>
          <w:szCs w:val="32"/>
        </w:rPr>
        <w:t>在基本医疗保险定点医疗机构发生的符合政策规定的住院费用，设定统筹基金起付标准和年度累计最高支付限额。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233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98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医院级别</w:t>
            </w:r>
          </w:p>
        </w:tc>
        <w:tc>
          <w:tcPr>
            <w:tcW w:w="233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起付标准</w:t>
            </w:r>
          </w:p>
        </w:tc>
        <w:tc>
          <w:tcPr>
            <w:tcW w:w="229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98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社区卫生服务机构</w:t>
            </w:r>
          </w:p>
        </w:tc>
        <w:tc>
          <w:tcPr>
            <w:tcW w:w="233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100</w:t>
            </w:r>
          </w:p>
        </w:tc>
        <w:tc>
          <w:tcPr>
            <w:tcW w:w="229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8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一级医院</w:t>
            </w:r>
          </w:p>
        </w:tc>
        <w:tc>
          <w:tcPr>
            <w:tcW w:w="233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100</w:t>
            </w:r>
          </w:p>
        </w:tc>
        <w:tc>
          <w:tcPr>
            <w:tcW w:w="229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98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二级医院</w:t>
            </w:r>
          </w:p>
        </w:tc>
        <w:tc>
          <w:tcPr>
            <w:tcW w:w="233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200</w:t>
            </w:r>
          </w:p>
        </w:tc>
        <w:tc>
          <w:tcPr>
            <w:tcW w:w="229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98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三级医院</w:t>
            </w:r>
          </w:p>
        </w:tc>
        <w:tc>
          <w:tcPr>
            <w:tcW w:w="2331"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300</w:t>
            </w:r>
          </w:p>
        </w:tc>
        <w:tc>
          <w:tcPr>
            <w:tcW w:w="2295"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color w:val="000000"/>
          <w:sz w:val="32"/>
          <w:szCs w:val="32"/>
          <w:lang w:val="en-US" w:eastAsia="zh-CN"/>
        </w:rPr>
        <w:t>7.</w:t>
      </w:r>
      <w:r>
        <w:rPr>
          <w:rFonts w:hint="eastAsia" w:ascii="仿宋" w:hAnsi="仿宋" w:eastAsia="仿宋" w:cs="仿宋"/>
          <w:b w:val="0"/>
          <w:bCs/>
          <w:color w:val="000000"/>
          <w:sz w:val="32"/>
          <w:szCs w:val="32"/>
        </w:rPr>
        <w:t>生育待遇：</w:t>
      </w:r>
      <w:r>
        <w:rPr>
          <w:rFonts w:hint="eastAsia" w:ascii="仿宋" w:hAnsi="仿宋" w:eastAsia="仿宋" w:cs="仿宋"/>
          <w:sz w:val="32"/>
          <w:szCs w:val="32"/>
        </w:rPr>
        <w:t>正常分娩最高限额2000元，剖宫产最高限额3000元。生育费用低于限额标准的，按实际发生费用补贴；高于限额标准的，按限额标准补贴。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异地就医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（一）省内住院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1.入院治疗：</w:t>
      </w:r>
      <w:r>
        <w:rPr>
          <w:rFonts w:hint="eastAsia" w:ascii="仿宋" w:hAnsi="仿宋" w:eastAsia="仿宋" w:cs="仿宋"/>
          <w:sz w:val="32"/>
          <w:szCs w:val="32"/>
          <w:lang w:eastAsia="zh-CN"/>
        </w:rPr>
        <w:t>参保大学生</w:t>
      </w:r>
      <w:r>
        <w:rPr>
          <w:rFonts w:hint="eastAsia" w:ascii="仿宋" w:hAnsi="仿宋" w:eastAsia="仿宋" w:cs="仿宋"/>
          <w:sz w:val="32"/>
          <w:szCs w:val="32"/>
        </w:rPr>
        <w:t>持本人医保电子凭证到</w:t>
      </w:r>
      <w:r>
        <w:rPr>
          <w:rFonts w:hint="eastAsia" w:ascii="仿宋" w:hAnsi="仿宋" w:eastAsia="仿宋" w:cs="仿宋"/>
          <w:sz w:val="32"/>
          <w:szCs w:val="32"/>
          <w:lang w:eastAsia="zh-CN"/>
        </w:rPr>
        <w:t>就诊</w:t>
      </w:r>
      <w:r>
        <w:rPr>
          <w:rFonts w:hint="eastAsia" w:ascii="仿宋" w:hAnsi="仿宋" w:eastAsia="仿宋" w:cs="仿宋"/>
          <w:sz w:val="32"/>
          <w:szCs w:val="32"/>
        </w:rPr>
        <w:t>医院</w:t>
      </w:r>
      <w:r>
        <w:rPr>
          <w:rFonts w:hint="eastAsia" w:ascii="仿宋" w:hAnsi="仿宋" w:eastAsia="仿宋" w:cs="仿宋"/>
          <w:sz w:val="32"/>
          <w:szCs w:val="32"/>
          <w:lang w:eastAsia="zh-CN"/>
        </w:rPr>
        <w:t>（医保定点医院）</w:t>
      </w:r>
      <w:r>
        <w:rPr>
          <w:rFonts w:hint="eastAsia" w:ascii="仿宋" w:hAnsi="仿宋" w:eastAsia="仿宋" w:cs="仿宋"/>
          <w:sz w:val="32"/>
          <w:szCs w:val="32"/>
        </w:rPr>
        <w:t>办理</w:t>
      </w:r>
      <w:r>
        <w:rPr>
          <w:rFonts w:hint="eastAsia" w:ascii="仿宋" w:hAnsi="仿宋" w:eastAsia="仿宋" w:cs="仿宋"/>
          <w:sz w:val="32"/>
          <w:szCs w:val="32"/>
          <w:lang w:eastAsia="zh-CN"/>
        </w:rPr>
        <w:t>医保</w:t>
      </w:r>
      <w:r>
        <w:rPr>
          <w:rFonts w:hint="eastAsia" w:ascii="仿宋" w:hAnsi="仿宋" w:eastAsia="仿宋" w:cs="仿宋"/>
          <w:sz w:val="32"/>
          <w:szCs w:val="32"/>
        </w:rPr>
        <w:t>登记手续；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rPr>
        <w:t>2.出院结算：住院治疗结束后，</w:t>
      </w:r>
      <w:r>
        <w:rPr>
          <w:rFonts w:hint="eastAsia" w:ascii="仿宋" w:hAnsi="仿宋" w:eastAsia="仿宋" w:cs="仿宋"/>
          <w:sz w:val="32"/>
          <w:szCs w:val="32"/>
          <w:lang w:eastAsia="zh-CN"/>
        </w:rPr>
        <w:t>参保大学生</w:t>
      </w:r>
      <w:r>
        <w:rPr>
          <w:rFonts w:hint="eastAsia" w:ascii="仿宋" w:hAnsi="仿宋" w:eastAsia="仿宋" w:cs="仿宋"/>
          <w:sz w:val="32"/>
          <w:szCs w:val="32"/>
        </w:rPr>
        <w:t>仅需要支付按规定个人负担的费用，其余由统筹基金支付。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（二）省外住院</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根据自己实际情况办理异地常住或临时备案手续，在备案地出院时直接享受报销。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虽备案成功但备案地的就诊医院不能正常读取信息所导致的无法实时结算享受报销的，住院费用全额自费，材料交于校医院医保办，由医保办转交杨陵区医保中心进行现金报销。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大学生医保基金不予支付的医疗费用：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①基本医疗药品目录、诊疗项目和服务设施标准以外的费用（急救除外）。②健康体检、</w:t>
      </w:r>
      <w:r>
        <w:rPr>
          <w:rFonts w:hint="eastAsia" w:ascii="仿宋" w:hAnsi="仿宋" w:eastAsia="仿宋" w:cs="仿宋"/>
          <w:color w:val="auto"/>
          <w:sz w:val="32"/>
          <w:szCs w:val="32"/>
          <w:lang w:eastAsia="zh-CN"/>
        </w:rPr>
        <w:t>疫苗接种</w:t>
      </w:r>
      <w:r>
        <w:rPr>
          <w:rFonts w:hint="eastAsia" w:ascii="仿宋" w:hAnsi="仿宋" w:eastAsia="仿宋" w:cs="仿宋"/>
          <w:color w:val="auto"/>
          <w:sz w:val="32"/>
          <w:szCs w:val="32"/>
        </w:rPr>
        <w:t>、</w:t>
      </w:r>
      <w:r>
        <w:rPr>
          <w:rFonts w:hint="eastAsia" w:ascii="仿宋" w:hAnsi="仿宋" w:eastAsia="仿宋" w:cs="仿宋"/>
          <w:color w:val="000000"/>
          <w:sz w:val="32"/>
          <w:szCs w:val="32"/>
        </w:rPr>
        <w:t>预防保健、艰苦教育等公共卫生服务的费用。③未在西北农林科技大学医院办理转诊转院审批备案手续，自行外出就医的医疗费用。④整形、美容、酗酒、吸毒、打架斗殴、自杀、自残、自焚及违法犯罪行为所致的医疗费用，以及因医疗事故所增加的医疗费用。⑤</w:t>
      </w:r>
      <w:r>
        <w:rPr>
          <w:rFonts w:hint="eastAsia" w:ascii="仿宋" w:hAnsi="仿宋" w:eastAsia="仿宋" w:cs="仿宋"/>
          <w:color w:val="000000"/>
          <w:sz w:val="32"/>
          <w:szCs w:val="32"/>
          <w:lang w:eastAsia="zh-CN"/>
        </w:rPr>
        <w:t>因第三方导致的意外伤害。⑥</w:t>
      </w:r>
      <w:r>
        <w:rPr>
          <w:rFonts w:hint="eastAsia" w:ascii="仿宋" w:hAnsi="仿宋" w:eastAsia="仿宋" w:cs="仿宋"/>
          <w:color w:val="000000"/>
          <w:sz w:val="32"/>
          <w:szCs w:val="32"/>
        </w:rPr>
        <w:t>按有关规定不予支付的其他费用。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、大学生医保住院费用</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二次补助</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补助标准</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参保大学生在一个参保年度内单次或多次住院，在基本医疗保险基金支付后，个人自付的政策范围内住院费用累计超过5000元以上部分，分段按比例报销。具体报销比例如下：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4"/>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004"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个人负担中符合</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政策范围内费用（元）</w:t>
            </w:r>
          </w:p>
        </w:tc>
        <w:tc>
          <w:tcPr>
            <w:tcW w:w="3770"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二次补助</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004"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5000（不含）—30000（含）</w:t>
            </w:r>
          </w:p>
        </w:tc>
        <w:tc>
          <w:tcPr>
            <w:tcW w:w="3770"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4"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30000（不含）—100000（含）</w:t>
            </w:r>
          </w:p>
        </w:tc>
        <w:tc>
          <w:tcPr>
            <w:tcW w:w="3770"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004"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100000（不含）以上</w:t>
            </w:r>
          </w:p>
        </w:tc>
        <w:tc>
          <w:tcPr>
            <w:tcW w:w="3770" w:type="dxa"/>
            <w:noWrap w:val="0"/>
            <w:vAlign w:val="center"/>
          </w:tcPr>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90</w:t>
            </w:r>
          </w:p>
        </w:tc>
      </w:tr>
    </w:tbl>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一个年度内统筹基金累计最高支付限额为30万元，年度最高支付限额是指参保患者个人年度获得大学生医疗保险各类</w:t>
      </w:r>
      <w:r>
        <w:rPr>
          <w:rFonts w:hint="eastAsia" w:ascii="仿宋" w:hAnsi="仿宋" w:eastAsia="仿宋" w:cs="仿宋"/>
          <w:color w:val="000000"/>
          <w:sz w:val="32"/>
          <w:szCs w:val="32"/>
          <w:lang w:eastAsia="zh-CN"/>
        </w:rPr>
        <w:t>基金支付</w:t>
      </w:r>
      <w:r>
        <w:rPr>
          <w:rFonts w:hint="eastAsia" w:ascii="仿宋" w:hAnsi="仿宋" w:eastAsia="仿宋" w:cs="仿宋"/>
          <w:color w:val="000000"/>
          <w:sz w:val="32"/>
          <w:szCs w:val="32"/>
        </w:rPr>
        <w:t>的总和，包括门诊、门诊特殊</w:t>
      </w:r>
      <w:r>
        <w:rPr>
          <w:rFonts w:hint="eastAsia" w:ascii="仿宋" w:hAnsi="仿宋" w:eastAsia="仿宋" w:cs="仿宋"/>
          <w:color w:val="000000"/>
          <w:sz w:val="32"/>
          <w:szCs w:val="32"/>
          <w:lang w:eastAsia="zh-CN"/>
        </w:rPr>
        <w:t>疾病</w:t>
      </w:r>
      <w:r>
        <w:rPr>
          <w:rFonts w:hint="eastAsia" w:ascii="仿宋" w:hAnsi="仿宋" w:eastAsia="仿宋" w:cs="仿宋"/>
          <w:color w:val="000000"/>
          <w:sz w:val="32"/>
          <w:szCs w:val="32"/>
        </w:rPr>
        <w:t>、住院、二次补助等。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西北农林科技大学医院医保办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电话：029-87092879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地址：西农路28号（水保所对面）</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90" w:afterAutospacing="0" w:line="560" w:lineRule="exact"/>
        <w:ind w:right="0" w:rightChars="0"/>
        <w:textAlignment w:val="auto"/>
        <w:rPr>
          <w:rFonts w:hint="eastAsia" w:ascii="仿宋_GB2312" w:hAnsi="仿宋_GB2312" w:eastAsia="仿宋_GB2312" w:cs="仿宋_GB2312"/>
          <w:sz w:val="28"/>
          <w:szCs w:val="28"/>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BE3CA8-0508-414D-B710-E7497A7918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2B27F6B3-2041-40A9-84BA-420046499C52}"/>
  </w:font>
  <w:font w:name="仿宋">
    <w:panose1 w:val="02010609060101010101"/>
    <w:charset w:val="86"/>
    <w:family w:val="auto"/>
    <w:pitch w:val="default"/>
    <w:sig w:usb0="800002BF" w:usb1="38CF7CFA" w:usb2="00000016" w:usb3="00000000" w:csb0="00040001" w:csb1="00000000"/>
    <w:embedRegular r:id="rId3" w:fontKey="{BE2F9692-CCEE-4B3A-85C1-C6C33B221C79}"/>
  </w:font>
  <w:font w:name="方正小标宋简体">
    <w:panose1 w:val="02000000000000000000"/>
    <w:charset w:val="86"/>
    <w:family w:val="auto"/>
    <w:pitch w:val="default"/>
    <w:sig w:usb0="00000001" w:usb1="08000000" w:usb2="00000000" w:usb3="00000000" w:csb0="00040000" w:csb1="00000000"/>
    <w:embedRegular r:id="rId4" w:fontKey="{5CCD4943-B280-48B3-AA44-88D5E8C17E80}"/>
  </w:font>
  <w:font w:name="方正小标宋_GBK">
    <w:panose1 w:val="02000000000000000000"/>
    <w:charset w:val="86"/>
    <w:family w:val="auto"/>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5" w:fontKey="{D173DCDD-4DAF-4EB4-AA29-7BD16E110B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11924"/>
    <w:multiLevelType w:val="singleLevel"/>
    <w:tmpl w:val="93311924"/>
    <w:lvl w:ilvl="0" w:tentative="0">
      <w:start w:val="1"/>
      <w:numFmt w:val="decimal"/>
      <w:suff w:val="nothing"/>
      <w:lvlText w:val="%1、"/>
      <w:lvlJc w:val="left"/>
      <w:pPr>
        <w:ind w:left="420" w:leftChars="0" w:firstLine="0" w:firstLineChars="0"/>
      </w:pPr>
    </w:lvl>
  </w:abstractNum>
  <w:abstractNum w:abstractNumId="1">
    <w:nsid w:val="CEAB981B"/>
    <w:multiLevelType w:val="singleLevel"/>
    <w:tmpl w:val="CEAB981B"/>
    <w:lvl w:ilvl="0" w:tentative="0">
      <w:start w:val="7"/>
      <w:numFmt w:val="chineseCounting"/>
      <w:suff w:val="nothing"/>
      <w:lvlText w:val="%1、"/>
      <w:lvlJc w:val="left"/>
      <w:rPr>
        <w:rFonts w:hint="eastAsia"/>
      </w:rPr>
    </w:lvl>
  </w:abstractNum>
  <w:abstractNum w:abstractNumId="2">
    <w:nsid w:val="6D523F64"/>
    <w:multiLevelType w:val="singleLevel"/>
    <w:tmpl w:val="6D523F6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2YxN2FjZDdmNmFiNzEyMTE5NzQxMzFlMTczYjEifQ=="/>
  </w:docVars>
  <w:rsids>
    <w:rsidRoot w:val="00000000"/>
    <w:rsid w:val="029F718E"/>
    <w:rsid w:val="0588434E"/>
    <w:rsid w:val="0CA16A31"/>
    <w:rsid w:val="0E074705"/>
    <w:rsid w:val="164853AE"/>
    <w:rsid w:val="1DBB7FDE"/>
    <w:rsid w:val="23724893"/>
    <w:rsid w:val="24D4359C"/>
    <w:rsid w:val="25497CA4"/>
    <w:rsid w:val="28873C5D"/>
    <w:rsid w:val="29E80483"/>
    <w:rsid w:val="2AE44847"/>
    <w:rsid w:val="2F037743"/>
    <w:rsid w:val="30414BFB"/>
    <w:rsid w:val="330B3D11"/>
    <w:rsid w:val="331E7449"/>
    <w:rsid w:val="3C5E7026"/>
    <w:rsid w:val="3F655930"/>
    <w:rsid w:val="3FE93BF8"/>
    <w:rsid w:val="42252480"/>
    <w:rsid w:val="43830DC7"/>
    <w:rsid w:val="447C38B1"/>
    <w:rsid w:val="465D7D3E"/>
    <w:rsid w:val="497C0D3F"/>
    <w:rsid w:val="4EA12272"/>
    <w:rsid w:val="4FD505F4"/>
    <w:rsid w:val="50E32DF2"/>
    <w:rsid w:val="52197FCA"/>
    <w:rsid w:val="52A051BA"/>
    <w:rsid w:val="578D30E7"/>
    <w:rsid w:val="584D3759"/>
    <w:rsid w:val="587749B8"/>
    <w:rsid w:val="5A1C5B76"/>
    <w:rsid w:val="5C1269AC"/>
    <w:rsid w:val="61C0784B"/>
    <w:rsid w:val="66BD00D2"/>
    <w:rsid w:val="67011B9B"/>
    <w:rsid w:val="6CC33310"/>
    <w:rsid w:val="6E476494"/>
    <w:rsid w:val="7D167BE4"/>
    <w:rsid w:val="7E661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1820</Words>
  <Characters>1992</Characters>
  <Lines>0</Lines>
  <Paragraphs>0</Paragraphs>
  <TotalTime>235</TotalTime>
  <ScaleCrop>false</ScaleCrop>
  <LinksUpToDate>false</LinksUpToDate>
  <CharactersWithSpaces>2000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2023-07-10T01:23:00Z</dcterms:created>
  <dc:creator>ybbz</dc:creator>
  <cp:lastModifiedBy>裂缝中的阳光</cp:lastModifiedBy>
  <cp:lastPrinted>2023-08-23T02:41:00Z</cp:lastPrinted>
  <dcterms:modified xsi:type="dcterms:W3CDTF">2023-10-08T07:16:48Z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D4ADECB9894A4FFC8A14962337F1C0AA</vt:lpwstr>
  </property>
</Properties>
</file>