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附件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经济管理学院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研究生科研创新项目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zh-TW" w:eastAsia="zh-CN"/>
        </w:rPr>
        <w:t>学术研究项目申报指南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ascii="宋体" w:hAnsi="宋体" w:eastAsia="宋体" w:cs="宋体"/>
          <w:sz w:val="28"/>
          <w:szCs w:val="28"/>
        </w:rPr>
        <w:t>粮食作物的价格风险监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测评估与预警研究——以玉米大豆为例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ascii="宋体" w:hAnsi="宋体" w:eastAsia="宋体" w:cs="宋体"/>
          <w:sz w:val="28"/>
          <w:szCs w:val="28"/>
        </w:rPr>
        <w:t>以人口高质量发展支撑中国式现代化的理论与政策研究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ascii="宋体" w:hAnsi="宋体" w:eastAsia="宋体" w:cs="宋体"/>
          <w:sz w:val="28"/>
          <w:szCs w:val="28"/>
        </w:rPr>
        <w:t>网络化时代进城农民工人际交往、信任与合作的机理及幸福感研究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ascii="宋体" w:hAnsi="宋体" w:eastAsia="宋体" w:cs="宋体"/>
          <w:sz w:val="28"/>
          <w:szCs w:val="28"/>
        </w:rPr>
        <w:t>人工智能发展对农村劳动力转移的影响及应对策略研究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ascii="宋体" w:hAnsi="宋体" w:eastAsia="宋体" w:cs="宋体"/>
          <w:sz w:val="28"/>
          <w:szCs w:val="28"/>
        </w:rPr>
        <w:t>农村产业融合对劳动力流动的影响效应及其机制研究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</w:t>
      </w:r>
      <w:r>
        <w:rPr>
          <w:rFonts w:ascii="宋体" w:hAnsi="宋体" w:eastAsia="宋体" w:cs="宋体"/>
          <w:sz w:val="28"/>
          <w:szCs w:val="28"/>
        </w:rPr>
        <w:t>环境规制对村级河长政策执行力的影响及其机制研究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</w:t>
      </w:r>
      <w:r>
        <w:rPr>
          <w:rFonts w:ascii="宋体" w:hAnsi="宋体" w:eastAsia="宋体" w:cs="宋体"/>
          <w:sz w:val="28"/>
          <w:szCs w:val="28"/>
        </w:rPr>
        <w:t>多元协同策略对耕地质量提升影响机制研究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</w:t>
      </w:r>
      <w:r>
        <w:rPr>
          <w:rFonts w:ascii="宋体" w:hAnsi="宋体" w:eastAsia="宋体" w:cs="宋体"/>
          <w:sz w:val="28"/>
          <w:szCs w:val="28"/>
        </w:rPr>
        <w:t>外出务工对农民子女教育的影响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</w:t>
      </w:r>
      <w:r>
        <w:rPr>
          <w:rFonts w:ascii="宋体" w:hAnsi="宋体" w:eastAsia="宋体" w:cs="宋体"/>
          <w:sz w:val="28"/>
          <w:szCs w:val="28"/>
        </w:rPr>
        <w:t>电商进村对农户消费结构的影响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</w:t>
      </w:r>
      <w:r>
        <w:rPr>
          <w:rFonts w:ascii="宋体" w:hAnsi="宋体" w:eastAsia="宋体" w:cs="宋体"/>
          <w:sz w:val="28"/>
          <w:szCs w:val="28"/>
        </w:rPr>
        <w:t>数字素养对提升乡村治理能力的影响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</w:t>
      </w:r>
      <w:r>
        <w:rPr>
          <w:rFonts w:ascii="宋体" w:hAnsi="宋体" w:eastAsia="宋体" w:cs="宋体"/>
          <w:sz w:val="28"/>
          <w:szCs w:val="28"/>
        </w:rPr>
        <w:t>资本下乡对城乡要素配置效率的影响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</w:t>
      </w:r>
      <w:r>
        <w:rPr>
          <w:rFonts w:ascii="宋体" w:hAnsi="宋体" w:eastAsia="宋体" w:cs="宋体"/>
          <w:sz w:val="28"/>
          <w:szCs w:val="28"/>
        </w:rPr>
        <w:t>农业农村现代化与财政金融政策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</w:t>
      </w:r>
      <w:r>
        <w:rPr>
          <w:rFonts w:ascii="宋体" w:hAnsi="宋体" w:eastAsia="宋体" w:cs="宋体"/>
          <w:sz w:val="28"/>
          <w:szCs w:val="28"/>
        </w:rPr>
        <w:t>乡村金融学关键问题研究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</w:t>
      </w:r>
      <w:r>
        <w:rPr>
          <w:rFonts w:ascii="宋体" w:hAnsi="宋体" w:eastAsia="宋体" w:cs="宋体"/>
          <w:sz w:val="28"/>
          <w:szCs w:val="28"/>
        </w:rPr>
        <w:t>可持续转型背景下食物消费环境效应评估及其优化策略研究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15.</w:t>
      </w:r>
      <w:r>
        <w:rPr>
          <w:rFonts w:ascii="宋体" w:hAnsi="宋体" w:eastAsia="宋体" w:cs="宋体"/>
          <w:sz w:val="28"/>
          <w:szCs w:val="28"/>
        </w:rPr>
        <w:t>生态-经济-社会框架内县域绿色发展先行区政策的作用机理、效果和完善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</w:t>
      </w:r>
      <w:r>
        <w:rPr>
          <w:rFonts w:ascii="宋体" w:hAnsi="宋体" w:eastAsia="宋体" w:cs="宋体"/>
          <w:sz w:val="28"/>
          <w:szCs w:val="28"/>
        </w:rPr>
        <w:t>消费转型、补贴政策和肉牛产业减排治理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17.</w:t>
      </w:r>
      <w:r>
        <w:rPr>
          <w:rFonts w:ascii="宋体" w:hAnsi="宋体" w:eastAsia="宋体" w:cs="宋体"/>
          <w:sz w:val="28"/>
          <w:szCs w:val="28"/>
        </w:rPr>
        <w:t>新质生产力视域下涉农企业供应链管理优化研究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18.</w:t>
      </w:r>
      <w:r>
        <w:rPr>
          <w:rFonts w:ascii="宋体" w:hAnsi="宋体" w:eastAsia="宋体" w:cs="宋体"/>
          <w:sz w:val="28"/>
          <w:szCs w:val="28"/>
        </w:rPr>
        <w:t>AI技术嵌入、信息质量与农业上市公司可持续发展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19.</w:t>
      </w:r>
      <w:r>
        <w:rPr>
          <w:rFonts w:ascii="宋体" w:hAnsi="宋体" w:eastAsia="宋体" w:cs="宋体"/>
          <w:sz w:val="28"/>
          <w:szCs w:val="28"/>
        </w:rPr>
        <w:t>数字化转型与企业组织韧性提升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20.</w:t>
      </w:r>
      <w:r>
        <w:rPr>
          <w:rFonts w:ascii="宋体" w:hAnsi="宋体" w:eastAsia="宋体" w:cs="宋体"/>
          <w:sz w:val="28"/>
          <w:szCs w:val="28"/>
        </w:rPr>
        <w:t>林业生态产品价值实现机制与补偿制度研究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21.</w:t>
      </w:r>
      <w:r>
        <w:rPr>
          <w:rFonts w:ascii="宋体" w:hAnsi="宋体" w:eastAsia="宋体" w:cs="宋体"/>
          <w:sz w:val="28"/>
          <w:szCs w:val="28"/>
        </w:rPr>
        <w:t>深化集体林权制度改革的重点任务、有效路径与实现机制研究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22.</w:t>
      </w:r>
      <w:r>
        <w:rPr>
          <w:rFonts w:ascii="宋体" w:hAnsi="宋体" w:eastAsia="宋体" w:cs="宋体"/>
          <w:sz w:val="28"/>
          <w:szCs w:val="28"/>
        </w:rPr>
        <w:t>国家公园建设的综合效应评价与体制机制优化研究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29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Njk3MjkzYmZjNGE0M2U2MGY3MjUyZDhlZjdhNmQifQ=="/>
  </w:docVars>
  <w:rsids>
    <w:rsidRoot w:val="00000000"/>
    <w:rsid w:val="0AF81AF7"/>
    <w:rsid w:val="10417A9D"/>
    <w:rsid w:val="15636B4B"/>
    <w:rsid w:val="1DBD71A2"/>
    <w:rsid w:val="29AA70BF"/>
    <w:rsid w:val="2AF76DD3"/>
    <w:rsid w:val="32E66E8E"/>
    <w:rsid w:val="44AD1116"/>
    <w:rsid w:val="4B6D6F37"/>
    <w:rsid w:val="4BD67C15"/>
    <w:rsid w:val="4F2866DF"/>
    <w:rsid w:val="50515879"/>
    <w:rsid w:val="50B70FC5"/>
    <w:rsid w:val="682C0123"/>
    <w:rsid w:val="6BA70BB1"/>
    <w:rsid w:val="6C7401C1"/>
    <w:rsid w:val="7BF4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2024-05-22T01:12:00Z</dcterms:created>
  <dc:creator>lenovo</dc:creator>
  <cp:lastModifiedBy>外外</cp:lastModifiedBy>
  <cp:lastPrinted>2024-05-28T07:24:00Z</cp:lastPrinted>
  <dcterms:modified xsi:type="dcterms:W3CDTF">2024-05-31T08:20:57Z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C24386E563014DF18F666EC7CA77C970_12</vt:lpwstr>
  </property>
</Properties>
</file>