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eastAsia="仿宋_GB2312"/>
          <w:b/>
          <w:color w:val="000000"/>
          <w:sz w:val="30"/>
          <w:szCs w:val="30"/>
        </w:rPr>
      </w:pPr>
      <w:r>
        <w:rPr>
          <w:rFonts w:eastAsia="仿宋_GB2312"/>
          <w:b/>
          <w:color w:val="000000"/>
          <w:sz w:val="30"/>
          <w:szCs w:val="30"/>
        </w:rPr>
        <w:t>研究生教学工作量计算办法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48"/>
        <w:gridCol w:w="1275"/>
        <w:gridCol w:w="1532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教学环节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计算方法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包含任务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讲 课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计划学时×1.2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包括备课、讲授、辅导答疑、课堂讨论、批改作业等教学环节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（1）青年教师第一次上课、新开课、两个班以上（不含两个班）每增加一个班，系数增加0.1（每30个学生为一个班）；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（2）研究生方向课，以统计期内研究生导师所在一级学科和专业学位授权点（不含MBA）数量为准，博士生方向课计50个工作量，硕士生方向课（第一个计25个工作量，第二个计13个工作量，第三个计12个工作量）。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考 试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人数×0.1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命题、阅卷、试卷整理提交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试卷包括A、B卷。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研究生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指导人数×系数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包括制定培养计划、指导学习、审阅修改论文等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</w:rPr>
              <w:t>士生系数30/年，硕士生系数20/年；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（2）合作指导，由指导教师分配工作量。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开题论证及答辩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包括参加答辩、提出问题、评定成绩、总结等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（1）研究生开题系数1；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（2）答辩系数：硕士生2，博士生3；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（3）预答辩系数3。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评阅论文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评阅人数×系数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包括提出修改意见、评阅结论等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系数：硕士生2，博士生3。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各类评审、监考、命题、加班工作量（评审工作量计200元/次，监考工作量计100元/次，命题工作量计400元/次；加班工作量计100元/天）；其它工作量每个50元。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1AFB"/>
    <w:rsid w:val="04C42B0D"/>
    <w:rsid w:val="191A1AFB"/>
    <w:rsid w:val="569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2020-12-23T11:31:00Z</dcterms:created>
  <dc:creator>紫薇花开</dc:creator>
  <cp:lastModifiedBy>紫薇花开</cp:lastModifiedBy>
  <dcterms:modified xsi:type="dcterms:W3CDTF">2020-12-23T11:36:09Z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